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7B1" w:rsidRDefault="00A577B1" w:rsidP="00A577B1">
      <w:pPr>
        <w:spacing w:after="0"/>
        <w:jc w:val="both"/>
      </w:pPr>
      <w:r>
        <w:tab/>
        <w:t xml:space="preserve">Одним из ключевых факторов, влияющих на качество услуг </w:t>
      </w:r>
      <w:proofErr w:type="spellStart"/>
      <w:r>
        <w:t>Росреестра</w:t>
      </w:r>
      <w:proofErr w:type="spellEnd"/>
      <w:r>
        <w:t xml:space="preserve"> при осуществлении государственного кадастрового учета, является качественные правила землепользования и застройки (ПЗЗ). Целевой моделью по кадастровому учету установлено, что к концу 2017 года все муниципальные образования страны должны утвердить ПЗЗ. По состоянию на 1 июля 2017 года на территории Российской Федерации ПЗЗ утверждены в отношении 90% муниципальных образований. При этом в настоящее время в ряде субъектов разработано очень малое количество ПЗЗ или они полностью отсутствуют. В этой связи</w:t>
      </w:r>
      <w:r>
        <w:t xml:space="preserve"> приятно отметить, что в</w:t>
      </w:r>
      <w:r>
        <w:t xml:space="preserve"> Республик</w:t>
      </w:r>
      <w:r>
        <w:t>е</w:t>
      </w:r>
      <w:r>
        <w:t xml:space="preserve"> Мордовия </w:t>
      </w:r>
      <w:r w:rsidRPr="00A577B1">
        <w:t xml:space="preserve">ПЗЗ утверждены в отношении </w:t>
      </w:r>
      <w:r>
        <w:t>100</w:t>
      </w:r>
      <w:r w:rsidRPr="00A577B1">
        <w:t>% муниципальных образований.</w:t>
      </w:r>
    </w:p>
    <w:p w:rsidR="00A577B1" w:rsidRDefault="00A577B1" w:rsidP="00A577B1">
      <w:pPr>
        <w:spacing w:after="0"/>
        <w:jc w:val="both"/>
      </w:pPr>
      <w:r>
        <w:tab/>
        <w:t xml:space="preserve">Для кадастрового учета важно не только формальное наличие ПЗЗ, но и однозначное их соответствие требованиям законодательства. В частности, законом определена необходимость внесения в ЕГРН границ территориальных зон, которые устанавливают  ППЗ и которые определяют разрешенное использование земли. Обязанность представлять эти документы в соответствии с законом «О государственной регистрации недвижимости» возложена на органы местного самоуправления. Эта информация должна направляться в электронном виде в рамках межведомственного взаимодействия. При этом подавляющее большинство муниципалитетов в стране эти зоны в ЕГРН вообще не вносит. </w:t>
      </w:r>
    </w:p>
    <w:p w:rsidR="00F940B7" w:rsidRDefault="00A577B1" w:rsidP="00A577B1">
      <w:pPr>
        <w:spacing w:after="0"/>
        <w:jc w:val="both"/>
      </w:pPr>
      <w:bookmarkStart w:id="0" w:name="_GoBack"/>
      <w:bookmarkEnd w:id="0"/>
      <w:r>
        <w:tab/>
        <w:t>При анализе документов, предоставляемых заявителем для кадастрового учета объекта недвижимости, государственный регистратор проверяет, в какой зоне он находится и возможно ли осуществлять здесь строительство такого рода объектов. Именно в ПЗЗ установлено, где на территории муниципального образования можно строить многоэтажные дома, а где коттеджные поселки, где должны размещаться социальные объекты, например, школы и больницы, а где возможно строить торговый центр или автосервис. Также в ПЗЗ четко установлены парковые или рекреационные зоны, в которых вообще запрещено капитальное строительство. Для качественного и оперативного проведения анализа в ЕГРН должны содержаться все зоны, определенные в ПЗЗ. Отсутствие такой информации в ЕГРН зачастую становится причиной приостановлений и отказов при проведении кадастрового учета.</w:t>
      </w:r>
    </w:p>
    <w:sectPr w:rsidR="00F94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C86"/>
    <w:rsid w:val="00147C86"/>
    <w:rsid w:val="003B2A89"/>
    <w:rsid w:val="00A577B1"/>
    <w:rsid w:val="00B576CA"/>
    <w:rsid w:val="00F9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A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2A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321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Grishanova</dc:creator>
  <cp:keywords/>
  <dc:description/>
  <cp:lastModifiedBy>Grishanova</cp:lastModifiedBy>
  <cp:revision>2</cp:revision>
  <dcterms:created xsi:type="dcterms:W3CDTF">2017-09-12T06:18:00Z</dcterms:created>
  <dcterms:modified xsi:type="dcterms:W3CDTF">2017-09-12T06:20:00Z</dcterms:modified>
</cp:coreProperties>
</file>